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3710EAD5"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7D2F52">
        <w:rPr>
          <w:rFonts w:asciiTheme="minorHAnsi" w:hAnsiTheme="minorHAnsi" w:cstheme="minorHAnsi"/>
          <w:b/>
          <w:bCs/>
          <w:sz w:val="20"/>
          <w:szCs w:val="20"/>
          <w:lang w:val="es-ES"/>
        </w:rPr>
        <w:t>24</w:t>
      </w:r>
      <w:r w:rsidR="007D2F52" w:rsidRPr="007D2F52">
        <w:rPr>
          <w:rFonts w:asciiTheme="minorHAnsi" w:hAnsiTheme="minorHAnsi" w:cstheme="minorHAnsi"/>
          <w:b/>
          <w:bCs/>
          <w:sz w:val="20"/>
          <w:szCs w:val="20"/>
          <w:lang w:val="es-ES"/>
        </w:rPr>
        <w:t xml:space="preserve"> de noviembre de 2022</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24C9207E" w14:textId="77777777" w:rsidR="007D2F52" w:rsidRPr="007D2F52" w:rsidRDefault="007D2F52" w:rsidP="007D2F52">
      <w:pPr>
        <w:spacing w:after="160" w:line="259" w:lineRule="auto"/>
        <w:rPr>
          <w:rFonts w:asciiTheme="minorHAnsi" w:eastAsia="Calibri" w:hAnsiTheme="minorHAnsi" w:cstheme="minorHAnsi"/>
          <w:b/>
          <w:bCs/>
          <w:sz w:val="20"/>
          <w:szCs w:val="20"/>
          <w:lang w:val="es-ES"/>
        </w:rPr>
      </w:pPr>
      <w:r w:rsidRPr="007D2F52">
        <w:rPr>
          <w:rFonts w:asciiTheme="minorHAnsi" w:eastAsia="Calibri" w:hAnsiTheme="minorHAnsi" w:cstheme="minorHAnsi"/>
          <w:b/>
          <w:bCs/>
          <w:sz w:val="20"/>
          <w:szCs w:val="20"/>
          <w:lang w:val="es-ES"/>
        </w:rPr>
        <w:t>BOBST se convierte en el número 1 mundial en el metalizado y recubrimiento por vacío de los envases flexibles</w:t>
      </w:r>
    </w:p>
    <w:p w14:paraId="52F038D8"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BOBST ha superado un nuevo listón a nivel mundial con sus recientes resultados que revelan que ya tiene la mayor cuota de mercado en tecnologías de metalizado y recubrimiento por vacío de envases flexibles. </w:t>
      </w:r>
    </w:p>
    <w:p w14:paraId="64C1A3B6"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“La venta de estas tecnologías ha sido especialmente pujante estos dos últimos años y estamos encantados de ostentar la posición de liderazgo,” declaró Davide Garavaglia, </w:t>
      </w:r>
      <w:proofErr w:type="gramStart"/>
      <w:r w:rsidRPr="007D2F52">
        <w:rPr>
          <w:rFonts w:asciiTheme="minorHAnsi" w:eastAsia="Calibri" w:hAnsiTheme="minorHAnsi" w:cstheme="minorHAnsi"/>
          <w:sz w:val="20"/>
          <w:szCs w:val="20"/>
          <w:lang w:val="es-ES"/>
        </w:rPr>
        <w:t>Jefe</w:t>
      </w:r>
      <w:proofErr w:type="gramEnd"/>
      <w:r w:rsidRPr="007D2F52">
        <w:rPr>
          <w:rFonts w:asciiTheme="minorHAnsi" w:eastAsia="Calibri" w:hAnsiTheme="minorHAnsi" w:cstheme="minorHAnsi"/>
          <w:sz w:val="20"/>
          <w:szCs w:val="20"/>
          <w:lang w:val="es-ES"/>
        </w:rPr>
        <w:t xml:space="preserve"> de líneas de Metalizado, Recubrimiento, Laminado y Huecograbado por vacío de BOBST. “Los recientes desarrollos que BOBST ha introducido en el mercado combinan conectividad, digitalización, automatización y sostenibilidad. Ahora somos capaces de producir una maquinaria que se caracteriza por unos tiempos de inactividad mínimos y una calidad magnífica a altas velocidades. Los convertidores y las marcas están comprobando las ventajas de esta visión para sus envases flexibles.” </w:t>
      </w:r>
    </w:p>
    <w:p w14:paraId="73B276DF"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Se trata de un gran logro que ha estado varios años desarrollándose. BOBST tiene muchos años de experiencia en procesos de recubrimiento por vacío y con sustratos flexibles. Esto ha llevado a desarrollar líneas de alta tecnología de metalizado y recubrimiento por vacío que sirven para producir una amplia variedad de productos. La introducción de los Centros de Excelencia BOBST también ha sido clave: los Centros de Manchester e Italia cuentan con equipos de especialistas expertos en metalizado y recubrimiento por vacío respectivamente. </w:t>
      </w:r>
    </w:p>
    <w:p w14:paraId="20874F96"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“Este logro es en realidad la culminación de una visión y de un largo proceso que hemos recorrido paso a paso, poniendo la calidad siempre en el centro,” explicó Davide Garavaglia. “Por el camino hemos invertido mucho en I+D, en aspectos técnicos, en personal y en formación, y el resultado ha sido una tecnología de alta calidad que responde a las necesidades de nuestros clientes.”</w:t>
      </w:r>
    </w:p>
    <w:p w14:paraId="0204E9AA" w14:textId="77777777" w:rsidR="007D2F52" w:rsidRPr="007D2F52" w:rsidRDefault="007D2F52" w:rsidP="007D2F52">
      <w:pPr>
        <w:spacing w:after="160" w:line="259" w:lineRule="auto"/>
        <w:rPr>
          <w:rFonts w:asciiTheme="minorHAnsi" w:eastAsia="Calibri" w:hAnsiTheme="minorHAnsi" w:cstheme="minorHAnsi"/>
          <w:b/>
          <w:bCs/>
          <w:sz w:val="20"/>
          <w:szCs w:val="20"/>
          <w:lang w:val="es-ES"/>
        </w:rPr>
      </w:pPr>
      <w:r w:rsidRPr="007D2F52">
        <w:rPr>
          <w:rFonts w:asciiTheme="minorHAnsi" w:eastAsia="Calibri" w:hAnsiTheme="minorHAnsi" w:cstheme="minorHAnsi"/>
          <w:b/>
          <w:bCs/>
          <w:sz w:val="20"/>
          <w:szCs w:val="20"/>
          <w:lang w:val="es-ES"/>
        </w:rPr>
        <w:t xml:space="preserve">Un momento decisivo para el envase flexible sostenible </w:t>
      </w:r>
    </w:p>
    <w:p w14:paraId="1184CCC4"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El profundo conocimiento de BOBST en tecnologías y procesos tanto de recubrimiento como de metalizado por vacío ha sido una ventaja más en su afán de conseguir unos envases flexibles realmente sostenibles. </w:t>
      </w:r>
    </w:p>
    <w:p w14:paraId="2EB042EA"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Superar la complejidad técnica de desarrollar y fabricar envases flexibles de alta barrera sostenibles y listos para reciclar es un desafío considerable. Pero con la familia de soluciones sostenibles </w:t>
      </w:r>
      <w:proofErr w:type="spellStart"/>
      <w:r w:rsidRPr="007D2F52">
        <w:rPr>
          <w:rFonts w:asciiTheme="minorHAnsi" w:eastAsia="Calibri" w:hAnsiTheme="minorHAnsi" w:cstheme="minorHAnsi"/>
          <w:sz w:val="20"/>
          <w:szCs w:val="20"/>
          <w:lang w:val="es-ES"/>
        </w:rPr>
        <w:t>oneBARRIER</w:t>
      </w:r>
      <w:proofErr w:type="spellEnd"/>
      <w:r w:rsidRPr="007D2F52">
        <w:rPr>
          <w:rFonts w:asciiTheme="minorHAnsi" w:eastAsia="Calibri" w:hAnsiTheme="minorHAnsi" w:cstheme="minorHAnsi"/>
          <w:sz w:val="20"/>
          <w:szCs w:val="20"/>
          <w:lang w:val="es-ES"/>
        </w:rPr>
        <w:t xml:space="preserve">, BOBST y sus socios han desarrollado unos sustratos industrialmente viables de </w:t>
      </w:r>
      <w:proofErr w:type="spellStart"/>
      <w:r w:rsidRPr="007D2F52">
        <w:rPr>
          <w:rFonts w:asciiTheme="minorHAnsi" w:eastAsia="Calibri" w:hAnsiTheme="minorHAnsi" w:cstheme="minorHAnsi"/>
          <w:sz w:val="20"/>
          <w:szCs w:val="20"/>
          <w:lang w:val="es-ES"/>
        </w:rPr>
        <w:t>monomaterial</w:t>
      </w:r>
      <w:proofErr w:type="spellEnd"/>
      <w:r w:rsidRPr="007D2F52">
        <w:rPr>
          <w:rFonts w:asciiTheme="minorHAnsi" w:eastAsia="Calibri" w:hAnsiTheme="minorHAnsi" w:cstheme="minorHAnsi"/>
          <w:sz w:val="20"/>
          <w:szCs w:val="20"/>
          <w:lang w:val="es-ES"/>
        </w:rPr>
        <w:t xml:space="preserve"> de alta barrera </w:t>
      </w:r>
      <w:proofErr w:type="spellStart"/>
      <w:r w:rsidRPr="007D2F52">
        <w:rPr>
          <w:rFonts w:asciiTheme="minorHAnsi" w:eastAsia="Calibri" w:hAnsiTheme="minorHAnsi" w:cstheme="minorHAnsi"/>
          <w:sz w:val="20"/>
          <w:szCs w:val="20"/>
          <w:lang w:val="es-ES"/>
        </w:rPr>
        <w:t>duplex</w:t>
      </w:r>
      <w:proofErr w:type="spellEnd"/>
      <w:r w:rsidRPr="007D2F52">
        <w:rPr>
          <w:rFonts w:asciiTheme="minorHAnsi" w:eastAsia="Calibri" w:hAnsiTheme="minorHAnsi" w:cstheme="minorHAnsi"/>
          <w:sz w:val="20"/>
          <w:szCs w:val="20"/>
          <w:lang w:val="es-ES"/>
        </w:rPr>
        <w:t xml:space="preserve"> y </w:t>
      </w:r>
      <w:proofErr w:type="spellStart"/>
      <w:r w:rsidRPr="007D2F52">
        <w:rPr>
          <w:rFonts w:asciiTheme="minorHAnsi" w:eastAsia="Calibri" w:hAnsiTheme="minorHAnsi" w:cstheme="minorHAnsi"/>
          <w:sz w:val="20"/>
          <w:szCs w:val="20"/>
          <w:lang w:val="es-ES"/>
        </w:rPr>
        <w:t>triplex</w:t>
      </w:r>
      <w:proofErr w:type="spellEnd"/>
      <w:r w:rsidRPr="007D2F52">
        <w:rPr>
          <w:rFonts w:asciiTheme="minorHAnsi" w:eastAsia="Calibri" w:hAnsiTheme="minorHAnsi" w:cstheme="minorHAnsi"/>
          <w:sz w:val="20"/>
          <w:szCs w:val="20"/>
          <w:lang w:val="es-ES"/>
        </w:rPr>
        <w:t xml:space="preserve"> reciclable como alternativa al </w:t>
      </w:r>
      <w:proofErr w:type="gramStart"/>
      <w:r w:rsidRPr="007D2F52">
        <w:rPr>
          <w:rFonts w:asciiTheme="minorHAnsi" w:eastAsia="Calibri" w:hAnsiTheme="minorHAnsi" w:cstheme="minorHAnsi"/>
          <w:sz w:val="20"/>
          <w:szCs w:val="20"/>
          <w:lang w:val="es-ES"/>
        </w:rPr>
        <w:t>film</w:t>
      </w:r>
      <w:proofErr w:type="gramEnd"/>
      <w:r w:rsidRPr="007D2F52">
        <w:rPr>
          <w:rFonts w:asciiTheme="minorHAnsi" w:eastAsia="Calibri" w:hAnsiTheme="minorHAnsi" w:cstheme="minorHAnsi"/>
          <w:sz w:val="20"/>
          <w:szCs w:val="20"/>
          <w:lang w:val="es-ES"/>
        </w:rPr>
        <w:t xml:space="preserve"> de poliéster metalizado no reciclable. Las soluciones sostenibles </w:t>
      </w:r>
      <w:proofErr w:type="spellStart"/>
      <w:r w:rsidRPr="007D2F52">
        <w:rPr>
          <w:rFonts w:asciiTheme="minorHAnsi" w:eastAsia="Calibri" w:hAnsiTheme="minorHAnsi" w:cstheme="minorHAnsi"/>
          <w:sz w:val="20"/>
          <w:szCs w:val="20"/>
          <w:lang w:val="es-ES"/>
        </w:rPr>
        <w:t>oneBARRIER</w:t>
      </w:r>
      <w:proofErr w:type="spellEnd"/>
      <w:r w:rsidRPr="007D2F52">
        <w:rPr>
          <w:rFonts w:asciiTheme="minorHAnsi" w:eastAsia="Calibri" w:hAnsiTheme="minorHAnsi" w:cstheme="minorHAnsi"/>
          <w:sz w:val="20"/>
          <w:szCs w:val="20"/>
          <w:lang w:val="es-ES"/>
        </w:rPr>
        <w:t xml:space="preserve"> diseñadas hasta ahora incluyen </w:t>
      </w:r>
      <w:proofErr w:type="spellStart"/>
      <w:r w:rsidRPr="007D2F52">
        <w:rPr>
          <w:rFonts w:asciiTheme="minorHAnsi" w:eastAsia="Calibri" w:hAnsiTheme="minorHAnsi" w:cstheme="minorHAnsi"/>
          <w:sz w:val="20"/>
          <w:szCs w:val="20"/>
          <w:lang w:val="es-ES"/>
        </w:rPr>
        <w:t>PrimeCycle</w:t>
      </w:r>
      <w:proofErr w:type="spellEnd"/>
      <w:r w:rsidRPr="007D2F52">
        <w:rPr>
          <w:rFonts w:asciiTheme="minorHAnsi" w:eastAsia="Calibri" w:hAnsiTheme="minorHAnsi" w:cstheme="minorHAnsi"/>
          <w:sz w:val="20"/>
          <w:szCs w:val="20"/>
          <w:lang w:val="es-ES"/>
        </w:rPr>
        <w:t xml:space="preserve">, con </w:t>
      </w:r>
      <w:proofErr w:type="spellStart"/>
      <w:r w:rsidRPr="007D2F52">
        <w:rPr>
          <w:rFonts w:asciiTheme="minorHAnsi" w:eastAsia="Calibri" w:hAnsiTheme="minorHAnsi" w:cstheme="minorHAnsi"/>
          <w:sz w:val="20"/>
          <w:szCs w:val="20"/>
          <w:lang w:val="es-ES"/>
        </w:rPr>
        <w:t>monosustratos</w:t>
      </w:r>
      <w:proofErr w:type="spellEnd"/>
      <w:r w:rsidRPr="007D2F52">
        <w:rPr>
          <w:rFonts w:asciiTheme="minorHAnsi" w:eastAsia="Calibri" w:hAnsiTheme="minorHAnsi" w:cstheme="minorHAnsi"/>
          <w:sz w:val="20"/>
          <w:szCs w:val="20"/>
          <w:lang w:val="es-ES"/>
        </w:rPr>
        <w:t xml:space="preserve"> de PE de EVOH y </w:t>
      </w:r>
      <w:proofErr w:type="spellStart"/>
      <w:r w:rsidRPr="007D2F52">
        <w:rPr>
          <w:rFonts w:asciiTheme="minorHAnsi" w:eastAsia="Calibri" w:hAnsiTheme="minorHAnsi" w:cstheme="minorHAnsi"/>
          <w:sz w:val="20"/>
          <w:szCs w:val="20"/>
          <w:lang w:val="es-ES"/>
        </w:rPr>
        <w:t>AlOx</w:t>
      </w:r>
      <w:proofErr w:type="spellEnd"/>
      <w:r w:rsidRPr="007D2F52">
        <w:rPr>
          <w:rFonts w:asciiTheme="minorHAnsi" w:eastAsia="Calibri" w:hAnsiTheme="minorHAnsi" w:cstheme="minorHAnsi"/>
          <w:sz w:val="20"/>
          <w:szCs w:val="20"/>
          <w:lang w:val="es-ES"/>
        </w:rPr>
        <w:t xml:space="preserve"> transparente o </w:t>
      </w:r>
      <w:proofErr w:type="spellStart"/>
      <w:r w:rsidRPr="007D2F52">
        <w:rPr>
          <w:rFonts w:asciiTheme="minorHAnsi" w:eastAsia="Calibri" w:hAnsiTheme="minorHAnsi" w:cstheme="minorHAnsi"/>
          <w:sz w:val="20"/>
          <w:szCs w:val="20"/>
          <w:lang w:val="es-ES"/>
        </w:rPr>
        <w:t>AluBond</w:t>
      </w:r>
      <w:proofErr w:type="spellEnd"/>
      <w:r w:rsidRPr="007D2F52">
        <w:rPr>
          <w:rFonts w:asciiTheme="minorHAnsi" w:eastAsia="Calibri" w:hAnsiTheme="minorHAnsi" w:cstheme="minorHAnsi"/>
          <w:sz w:val="20"/>
          <w:szCs w:val="20"/>
          <w:lang w:val="es-ES"/>
        </w:rPr>
        <w:t xml:space="preserve"> opaco, y </w:t>
      </w:r>
      <w:proofErr w:type="spellStart"/>
      <w:r w:rsidRPr="007D2F52">
        <w:rPr>
          <w:rFonts w:asciiTheme="minorHAnsi" w:eastAsia="Calibri" w:hAnsiTheme="minorHAnsi" w:cstheme="minorHAnsi"/>
          <w:sz w:val="20"/>
          <w:szCs w:val="20"/>
          <w:lang w:val="es-ES"/>
        </w:rPr>
        <w:t>FibreCycle</w:t>
      </w:r>
      <w:proofErr w:type="spellEnd"/>
      <w:r w:rsidRPr="007D2F52">
        <w:rPr>
          <w:rFonts w:asciiTheme="minorHAnsi" w:eastAsia="Calibri" w:hAnsiTheme="minorHAnsi" w:cstheme="minorHAnsi"/>
          <w:sz w:val="20"/>
          <w:szCs w:val="20"/>
          <w:lang w:val="es-ES"/>
        </w:rPr>
        <w:t xml:space="preserve">, una estructura </w:t>
      </w:r>
      <w:proofErr w:type="spellStart"/>
      <w:r w:rsidRPr="007D2F52">
        <w:rPr>
          <w:rFonts w:asciiTheme="minorHAnsi" w:eastAsia="Calibri" w:hAnsiTheme="minorHAnsi" w:cstheme="minorHAnsi"/>
          <w:sz w:val="20"/>
          <w:szCs w:val="20"/>
          <w:lang w:val="es-ES"/>
        </w:rPr>
        <w:t>monomaterial</w:t>
      </w:r>
      <w:proofErr w:type="spellEnd"/>
      <w:r w:rsidRPr="007D2F52">
        <w:rPr>
          <w:rFonts w:asciiTheme="minorHAnsi" w:eastAsia="Calibri" w:hAnsiTheme="minorHAnsi" w:cstheme="minorHAnsi"/>
          <w:sz w:val="20"/>
          <w:szCs w:val="20"/>
          <w:lang w:val="es-ES"/>
        </w:rPr>
        <w:t xml:space="preserve"> de alta barrera de papel recubierta de capas que se pueden reciclar en la fracción papel.</w:t>
      </w:r>
    </w:p>
    <w:p w14:paraId="3B03CEF8"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w:t>
      </w:r>
      <w:proofErr w:type="spellStart"/>
      <w:r w:rsidRPr="007D2F52">
        <w:rPr>
          <w:rFonts w:asciiTheme="minorHAnsi" w:eastAsia="Calibri" w:hAnsiTheme="minorHAnsi" w:cstheme="minorHAnsi"/>
          <w:sz w:val="20"/>
          <w:szCs w:val="20"/>
          <w:lang w:val="es-ES"/>
        </w:rPr>
        <w:t>oneBARRIER</w:t>
      </w:r>
      <w:proofErr w:type="spellEnd"/>
      <w:r w:rsidRPr="007D2F52">
        <w:rPr>
          <w:rFonts w:asciiTheme="minorHAnsi" w:eastAsia="Calibri" w:hAnsiTheme="minorHAnsi" w:cstheme="minorHAnsi"/>
          <w:sz w:val="20"/>
          <w:szCs w:val="20"/>
          <w:lang w:val="es-ES"/>
        </w:rPr>
        <w:t xml:space="preserve"> es una familia de soluciones probadas y viables que cumplen los requisitos industriales en cuanto a simplificación de los envases, la reducción de las capas y la sustitución de los sustratos de polímeros mixtos no reciclables por estructuras </w:t>
      </w:r>
      <w:proofErr w:type="spellStart"/>
      <w:r w:rsidRPr="007D2F52">
        <w:rPr>
          <w:rFonts w:asciiTheme="minorHAnsi" w:eastAsia="Calibri" w:hAnsiTheme="minorHAnsi" w:cstheme="minorHAnsi"/>
          <w:sz w:val="20"/>
          <w:szCs w:val="20"/>
          <w:lang w:val="es-ES"/>
        </w:rPr>
        <w:t>monomateriales</w:t>
      </w:r>
      <w:proofErr w:type="spellEnd"/>
      <w:r w:rsidRPr="007D2F52">
        <w:rPr>
          <w:rFonts w:asciiTheme="minorHAnsi" w:eastAsia="Calibri" w:hAnsiTheme="minorHAnsi" w:cstheme="minorHAnsi"/>
          <w:sz w:val="20"/>
          <w:szCs w:val="20"/>
          <w:lang w:val="es-ES"/>
        </w:rPr>
        <w:t xml:space="preserve"> preparadas para el reciclaje como forma de apoyar la circularidad y la reciclabilidad," expuso el Sr. Garavaglia. “Es un momento decisivo. Creemos que </w:t>
      </w:r>
      <w:proofErr w:type="spellStart"/>
      <w:r w:rsidRPr="007D2F52">
        <w:rPr>
          <w:rFonts w:asciiTheme="minorHAnsi" w:eastAsia="Calibri" w:hAnsiTheme="minorHAnsi" w:cstheme="minorHAnsi"/>
          <w:sz w:val="20"/>
          <w:szCs w:val="20"/>
          <w:lang w:val="es-ES"/>
        </w:rPr>
        <w:t>oneBARRIER</w:t>
      </w:r>
      <w:proofErr w:type="spellEnd"/>
      <w:r w:rsidRPr="007D2F52">
        <w:rPr>
          <w:rFonts w:asciiTheme="minorHAnsi" w:eastAsia="Calibri" w:hAnsiTheme="minorHAnsi" w:cstheme="minorHAnsi"/>
          <w:sz w:val="20"/>
          <w:szCs w:val="20"/>
          <w:lang w:val="es-ES"/>
        </w:rPr>
        <w:t xml:space="preserve"> se va a convertir en un hito del reciclaje del envase </w:t>
      </w:r>
      <w:proofErr w:type="spellStart"/>
      <w:r w:rsidRPr="007D2F52">
        <w:rPr>
          <w:rFonts w:asciiTheme="minorHAnsi" w:eastAsia="Calibri" w:hAnsiTheme="minorHAnsi" w:cstheme="minorHAnsi"/>
          <w:sz w:val="20"/>
          <w:szCs w:val="20"/>
          <w:lang w:val="es-ES"/>
        </w:rPr>
        <w:t>monomaterial</w:t>
      </w:r>
      <w:proofErr w:type="spellEnd"/>
      <w:r w:rsidRPr="007D2F52">
        <w:rPr>
          <w:rFonts w:asciiTheme="minorHAnsi" w:eastAsia="Calibri" w:hAnsiTheme="minorHAnsi" w:cstheme="minorHAnsi"/>
          <w:sz w:val="20"/>
          <w:szCs w:val="20"/>
          <w:lang w:val="es-ES"/>
        </w:rPr>
        <w:t xml:space="preserve">.” </w:t>
      </w:r>
    </w:p>
    <w:p w14:paraId="1C27D045" w14:textId="77777777" w:rsidR="007D2F52" w:rsidRPr="007D2F52" w:rsidRDefault="007D2F52" w:rsidP="007D2F52">
      <w:pPr>
        <w:spacing w:after="160" w:line="259" w:lineRule="auto"/>
        <w:rPr>
          <w:rFonts w:asciiTheme="minorHAnsi" w:eastAsia="Calibri" w:hAnsiTheme="minorHAnsi" w:cstheme="minorHAnsi"/>
          <w:b/>
          <w:bCs/>
          <w:sz w:val="20"/>
          <w:szCs w:val="20"/>
          <w:lang w:val="es-ES"/>
        </w:rPr>
      </w:pPr>
      <w:r w:rsidRPr="007D2F52">
        <w:rPr>
          <w:rFonts w:asciiTheme="minorHAnsi" w:eastAsia="Calibri" w:hAnsiTheme="minorHAnsi" w:cstheme="minorHAnsi"/>
          <w:b/>
          <w:bCs/>
          <w:sz w:val="20"/>
          <w:szCs w:val="20"/>
          <w:lang w:val="es-ES"/>
        </w:rPr>
        <w:lastRenderedPageBreak/>
        <w:t xml:space="preserve">Añadir siempre un valor más </w:t>
      </w:r>
    </w:p>
    <w:p w14:paraId="3E6DA82E"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La experiencia en recubrimiento de BOBST va más allá de los usos comunes. En el sector de los envases flexibles con sustratos de altas prestaciones, BOBST lidera el mercado de las aplicaciones de aluminio, como las hojas de aluminio lacado, por ejemplo. Otras aplicaciones para las que las empresas convertidoras más importantes del mundo han elegido las tecnologías de recubrimiento BOBST estos últimos años, para aumentar su capacidad de producción o para entrar en nuevos mercados, son las cintas autoadhesivas especiales, las aplicaciones médicas, las etiquetas y los protectores antiadherentes.</w:t>
      </w:r>
    </w:p>
    <w:p w14:paraId="0FD9C0A2"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Otra de las razones por las que BOBST sigue añadiendo valor para sus clientes es que es la única del sector industrial con un proveedor único, que ofrece soluciones de principio a fin capaces de satisfacer todos los requisitos de las aplicaciones de envases y demás materiales flexibles. BOBST ha sido pionera a la hora de innovar y lograr mayor sostenibilidad, eficiencia y calidad en producción, equipos y procesos.</w:t>
      </w:r>
    </w:p>
    <w:p w14:paraId="2FBFCB1D"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Los dos Centros de Competencia de Manchester (Reino Unido) y de San Giorgio </w:t>
      </w:r>
      <w:proofErr w:type="spellStart"/>
      <w:r w:rsidRPr="007D2F52">
        <w:rPr>
          <w:rFonts w:asciiTheme="minorHAnsi" w:eastAsia="Calibri" w:hAnsiTheme="minorHAnsi" w:cstheme="minorHAnsi"/>
          <w:sz w:val="20"/>
          <w:szCs w:val="20"/>
          <w:lang w:val="es-ES"/>
        </w:rPr>
        <w:t>Monferrato</w:t>
      </w:r>
      <w:proofErr w:type="spellEnd"/>
      <w:r w:rsidRPr="007D2F52">
        <w:rPr>
          <w:rFonts w:asciiTheme="minorHAnsi" w:eastAsia="Calibri" w:hAnsiTheme="minorHAnsi" w:cstheme="minorHAnsi"/>
          <w:sz w:val="20"/>
          <w:szCs w:val="20"/>
          <w:lang w:val="es-ES"/>
        </w:rPr>
        <w:t xml:space="preserve"> (Italia) se dedican a las tecnologías de conversión. Bobst Manchester ofrece procesos de recubrimiento al vacío para barreras, mientras que la línea piloto de recubrimiento LEONARDO, en Italia, ofrece múltiples sistemas de recubrimiento y secado y aplicaciones a escala de producción.    </w:t>
      </w:r>
    </w:p>
    <w:p w14:paraId="6BDFDD37" w14:textId="77777777" w:rsidR="007D2F52" w:rsidRPr="007D2F52" w:rsidRDefault="007D2F52" w:rsidP="007D2F52">
      <w:pPr>
        <w:spacing w:after="160" w:line="259" w:lineRule="auto"/>
        <w:rPr>
          <w:rFonts w:asciiTheme="minorHAnsi" w:eastAsia="Calibri" w:hAnsiTheme="minorHAnsi" w:cstheme="minorHAnsi"/>
          <w:sz w:val="20"/>
          <w:szCs w:val="20"/>
          <w:lang w:val="es-ES"/>
        </w:rPr>
      </w:pPr>
      <w:r w:rsidRPr="007D2F52">
        <w:rPr>
          <w:rFonts w:asciiTheme="minorHAnsi" w:eastAsia="Calibri" w:hAnsiTheme="minorHAnsi" w:cstheme="minorHAnsi"/>
          <w:sz w:val="20"/>
          <w:szCs w:val="20"/>
          <w:lang w:val="es-ES"/>
        </w:rPr>
        <w:t xml:space="preserve">“Dado el fuerte aumento de la demanda de recubrimientos barrera para </w:t>
      </w:r>
      <w:proofErr w:type="gramStart"/>
      <w:r w:rsidRPr="007D2F52">
        <w:rPr>
          <w:rFonts w:asciiTheme="minorHAnsi" w:eastAsia="Calibri" w:hAnsiTheme="minorHAnsi" w:cstheme="minorHAnsi"/>
          <w:sz w:val="20"/>
          <w:szCs w:val="20"/>
          <w:lang w:val="es-ES"/>
        </w:rPr>
        <w:t>film</w:t>
      </w:r>
      <w:proofErr w:type="gramEnd"/>
      <w:r w:rsidRPr="007D2F52">
        <w:rPr>
          <w:rFonts w:asciiTheme="minorHAnsi" w:eastAsia="Calibri" w:hAnsiTheme="minorHAnsi" w:cstheme="minorHAnsi"/>
          <w:sz w:val="20"/>
          <w:szCs w:val="20"/>
          <w:lang w:val="es-ES"/>
        </w:rPr>
        <w:t xml:space="preserve"> y papel, así como de producción de nuevos sustratos de alta barrera listos para reciclar, el servicio que brindamos a marcas y convertidores es verdaderamente único,” dijo el Sr. Garavaglia. “En nuestros Centros de Competencia los convertidores pueden probar nuevos sustratos y características, comprobar qué tipo de método de recubrimiento, qué sistema de secado y qué consumibles funcionan mejor para su diseño y estructura de envase. También pueden calcular la productividad y la rentabilidad en un sitio web piloto que permite comprobar la viabilidad de sus nuevos diseños.” </w:t>
      </w:r>
    </w:p>
    <w:p w14:paraId="160516D3" w14:textId="4A4BBAF5" w:rsidR="00EF0880" w:rsidRPr="007D2F52" w:rsidRDefault="007D2F52" w:rsidP="00B936B3">
      <w:pPr>
        <w:autoSpaceDE w:val="0"/>
        <w:autoSpaceDN w:val="0"/>
        <w:adjustRightInd w:val="0"/>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w:t>
      </w: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w:t>
      </w:r>
      <w:proofErr w:type="gramStart"/>
      <w:r w:rsidRPr="00217782">
        <w:rPr>
          <w:rFonts w:asciiTheme="minorHAnsi" w:hAnsiTheme="minorHAnsi" w:cstheme="minorHAnsi"/>
          <w:sz w:val="19"/>
          <w:szCs w:val="19"/>
          <w:lang w:val="es-ES"/>
        </w:rPr>
        <w:t xml:space="preserve">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w:t>
      </w:r>
      <w:proofErr w:type="gramEnd"/>
      <w:r w:rsidRPr="00217782">
        <w:rPr>
          <w:rFonts w:asciiTheme="minorHAnsi" w:hAnsiTheme="minorHAnsi" w:cstheme="minorHAnsi"/>
          <w:sz w:val="19"/>
          <w:szCs w:val="19"/>
          <w:lang w:val="es-ES"/>
        </w:rPr>
        <w:t xml:space="preserve"> millones de francos suizos durante el ejercicio finalizado el 31 de diciembre de 2021.</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1160A6" w:rsidRDefault="006A73CE" w:rsidP="00B936B3">
      <w:pPr>
        <w:rPr>
          <w:rFonts w:cs="Arial"/>
          <w:sz w:val="19"/>
          <w:szCs w:val="19"/>
          <w:lang w:val="fr-CH" w:eastAsia="de-DE"/>
        </w:rPr>
      </w:pPr>
      <w:r w:rsidRPr="001160A6">
        <w:rPr>
          <w:rFonts w:cs="Arial"/>
          <w:sz w:val="19"/>
          <w:szCs w:val="19"/>
          <w:lang w:val="fr-CH" w:eastAsia="de-DE"/>
        </w:rPr>
        <w:t>Tel</w:t>
      </w:r>
      <w:proofErr w:type="gramStart"/>
      <w:r w:rsidRPr="001160A6">
        <w:rPr>
          <w:rFonts w:cs="Arial"/>
          <w:sz w:val="19"/>
          <w:szCs w:val="19"/>
          <w:lang w:val="fr-CH" w:eastAsia="de-DE"/>
        </w:rPr>
        <w:t>.:</w:t>
      </w:r>
      <w:proofErr w:type="gramEnd"/>
      <w:r w:rsidRPr="001160A6">
        <w:rPr>
          <w:rFonts w:cs="Arial"/>
          <w:sz w:val="19"/>
          <w:szCs w:val="19"/>
          <w:lang w:val="fr-CH" w:eastAsia="de-DE"/>
        </w:rPr>
        <w:t xml:space="preserve"> +49 211 58 58 66 66 </w:t>
      </w:r>
    </w:p>
    <w:p w14:paraId="4EC36826" w14:textId="77777777" w:rsidR="006A73CE" w:rsidRPr="001160A6" w:rsidRDefault="006A73CE" w:rsidP="00B936B3">
      <w:pPr>
        <w:rPr>
          <w:rFonts w:cs="Arial"/>
          <w:sz w:val="19"/>
          <w:szCs w:val="19"/>
          <w:lang w:val="fr-CH" w:eastAsia="de-DE"/>
        </w:rPr>
      </w:pPr>
      <w:proofErr w:type="gramStart"/>
      <w:r w:rsidRPr="001160A6">
        <w:rPr>
          <w:rFonts w:cs="Arial"/>
          <w:sz w:val="19"/>
          <w:szCs w:val="19"/>
          <w:lang w:val="fr-CH" w:eastAsia="de-DE"/>
        </w:rPr>
        <w:t>Mobile:</w:t>
      </w:r>
      <w:proofErr w:type="gramEnd"/>
      <w:r w:rsidRPr="001160A6">
        <w:rPr>
          <w:rFonts w:cs="Arial"/>
          <w:sz w:val="19"/>
          <w:szCs w:val="19"/>
          <w:lang w:val="fr-CH" w:eastAsia="de-DE"/>
        </w:rPr>
        <w:t xml:space="preserve"> +49 160 48 41 439</w:t>
      </w:r>
    </w:p>
    <w:p w14:paraId="397F5226" w14:textId="77777777" w:rsidR="000B5055" w:rsidRPr="001160A6" w:rsidRDefault="000B5055" w:rsidP="00B936B3">
      <w:pPr>
        <w:rPr>
          <w:rFonts w:cs="Arial"/>
          <w:sz w:val="19"/>
          <w:szCs w:val="19"/>
          <w:lang w:val="fr-CH" w:eastAsia="de-DE"/>
        </w:rPr>
      </w:pPr>
      <w:proofErr w:type="gramStart"/>
      <w:r w:rsidRPr="001160A6">
        <w:rPr>
          <w:rFonts w:cs="Arial"/>
          <w:sz w:val="19"/>
          <w:szCs w:val="19"/>
          <w:lang w:val="fr-CH" w:eastAsia="de-DE"/>
        </w:rPr>
        <w:t>Email:</w:t>
      </w:r>
      <w:proofErr w:type="gramEnd"/>
      <w:r w:rsidRPr="001160A6">
        <w:rPr>
          <w:rFonts w:cs="Arial"/>
          <w:sz w:val="19"/>
          <w:szCs w:val="19"/>
          <w:lang w:val="fr-CH" w:eastAsia="de-DE"/>
        </w:rPr>
        <w:t xml:space="preserve"> </w:t>
      </w:r>
      <w:hyperlink r:id="rId7" w:history="1">
        <w:r w:rsidRPr="001160A6">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1160A6" w:rsidRDefault="006A73CE" w:rsidP="00B936B3">
      <w:pPr>
        <w:rPr>
          <w:rFonts w:cs="Arial"/>
          <w:sz w:val="19"/>
          <w:szCs w:val="19"/>
          <w:lang w:val="fr-CH" w:eastAsia="de-DE"/>
        </w:rPr>
      </w:pPr>
    </w:p>
    <w:p w14:paraId="00E090D4" w14:textId="56502D7B" w:rsidR="00D12952" w:rsidRDefault="00D12952" w:rsidP="00B936B3">
      <w:pPr>
        <w:rPr>
          <w:rFonts w:cs="Arial"/>
          <w:sz w:val="19"/>
          <w:szCs w:val="19"/>
          <w:lang w:val="fr-CH" w:eastAsia="de-DE"/>
        </w:rPr>
      </w:pPr>
    </w:p>
    <w:p w14:paraId="5CEDB7C6" w14:textId="77777777" w:rsidR="007D2F52" w:rsidRPr="001160A6" w:rsidRDefault="007D2F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lastRenderedPageBreak/>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7D2F52"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7D2F52"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160A6"/>
    <w:rsid w:val="00154DC0"/>
    <w:rsid w:val="00154F85"/>
    <w:rsid w:val="00162F04"/>
    <w:rsid w:val="00165731"/>
    <w:rsid w:val="00185617"/>
    <w:rsid w:val="00193DE7"/>
    <w:rsid w:val="00217782"/>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D2F52"/>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1160A6"/>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1160A6"/>
  </w:style>
  <w:style w:type="character" w:customStyle="1" w:styleId="eop">
    <w:name w:val="eop"/>
    <w:basedOn w:val="DefaultParagraphFont"/>
    <w:rsid w:val="0011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727805856">
      <w:bodyDiv w:val="1"/>
      <w:marLeft w:val="0"/>
      <w:marRight w:val="0"/>
      <w:marTop w:val="0"/>
      <w:marBottom w:val="0"/>
      <w:divBdr>
        <w:top w:val="none" w:sz="0" w:space="0" w:color="auto"/>
        <w:left w:val="none" w:sz="0" w:space="0" w:color="auto"/>
        <w:bottom w:val="none" w:sz="0" w:space="0" w:color="auto"/>
        <w:right w:val="none" w:sz="0" w:space="0" w:color="auto"/>
      </w:divBdr>
      <w:divsChild>
        <w:div w:id="225386136">
          <w:marLeft w:val="0"/>
          <w:marRight w:val="0"/>
          <w:marTop w:val="0"/>
          <w:marBottom w:val="0"/>
          <w:divBdr>
            <w:top w:val="none" w:sz="0" w:space="0" w:color="auto"/>
            <w:left w:val="none" w:sz="0" w:space="0" w:color="auto"/>
            <w:bottom w:val="none" w:sz="0" w:space="0" w:color="auto"/>
            <w:right w:val="none" w:sz="0" w:space="0" w:color="auto"/>
          </w:divBdr>
        </w:div>
        <w:div w:id="798106194">
          <w:marLeft w:val="0"/>
          <w:marRight w:val="0"/>
          <w:marTop w:val="0"/>
          <w:marBottom w:val="0"/>
          <w:divBdr>
            <w:top w:val="none" w:sz="0" w:space="0" w:color="auto"/>
            <w:left w:val="none" w:sz="0" w:space="0" w:color="auto"/>
            <w:bottom w:val="none" w:sz="0" w:space="0" w:color="auto"/>
            <w:right w:val="none" w:sz="0" w:space="0" w:color="auto"/>
          </w:divBdr>
        </w:div>
        <w:div w:id="1032417559">
          <w:marLeft w:val="0"/>
          <w:marRight w:val="0"/>
          <w:marTop w:val="0"/>
          <w:marBottom w:val="0"/>
          <w:divBdr>
            <w:top w:val="none" w:sz="0" w:space="0" w:color="auto"/>
            <w:left w:val="none" w:sz="0" w:space="0" w:color="auto"/>
            <w:bottom w:val="none" w:sz="0" w:space="0" w:color="auto"/>
            <w:right w:val="none" w:sz="0" w:space="0" w:color="auto"/>
          </w:divBdr>
        </w:div>
        <w:div w:id="390547004">
          <w:marLeft w:val="0"/>
          <w:marRight w:val="0"/>
          <w:marTop w:val="0"/>
          <w:marBottom w:val="0"/>
          <w:divBdr>
            <w:top w:val="none" w:sz="0" w:space="0" w:color="auto"/>
            <w:left w:val="none" w:sz="0" w:space="0" w:color="auto"/>
            <w:bottom w:val="none" w:sz="0" w:space="0" w:color="auto"/>
            <w:right w:val="none" w:sz="0" w:space="0" w:color="auto"/>
          </w:divBdr>
        </w:div>
        <w:div w:id="364716341">
          <w:marLeft w:val="0"/>
          <w:marRight w:val="0"/>
          <w:marTop w:val="0"/>
          <w:marBottom w:val="0"/>
          <w:divBdr>
            <w:top w:val="none" w:sz="0" w:space="0" w:color="auto"/>
            <w:left w:val="none" w:sz="0" w:space="0" w:color="auto"/>
            <w:bottom w:val="none" w:sz="0" w:space="0" w:color="auto"/>
            <w:right w:val="none" w:sz="0" w:space="0" w:color="auto"/>
          </w:divBdr>
        </w:div>
        <w:div w:id="2085755747">
          <w:marLeft w:val="0"/>
          <w:marRight w:val="0"/>
          <w:marTop w:val="0"/>
          <w:marBottom w:val="0"/>
          <w:divBdr>
            <w:top w:val="none" w:sz="0" w:space="0" w:color="auto"/>
            <w:left w:val="none" w:sz="0" w:space="0" w:color="auto"/>
            <w:bottom w:val="none" w:sz="0" w:space="0" w:color="auto"/>
            <w:right w:val="none" w:sz="0" w:space="0" w:color="auto"/>
          </w:divBdr>
        </w:div>
        <w:div w:id="1094595372">
          <w:marLeft w:val="0"/>
          <w:marRight w:val="0"/>
          <w:marTop w:val="0"/>
          <w:marBottom w:val="0"/>
          <w:divBdr>
            <w:top w:val="none" w:sz="0" w:space="0" w:color="auto"/>
            <w:left w:val="none" w:sz="0" w:space="0" w:color="auto"/>
            <w:bottom w:val="none" w:sz="0" w:space="0" w:color="auto"/>
            <w:right w:val="none" w:sz="0" w:space="0" w:color="auto"/>
          </w:divBdr>
        </w:div>
        <w:div w:id="1111248081">
          <w:marLeft w:val="0"/>
          <w:marRight w:val="0"/>
          <w:marTop w:val="0"/>
          <w:marBottom w:val="0"/>
          <w:divBdr>
            <w:top w:val="none" w:sz="0" w:space="0" w:color="auto"/>
            <w:left w:val="none" w:sz="0" w:space="0" w:color="auto"/>
            <w:bottom w:val="none" w:sz="0" w:space="0" w:color="auto"/>
            <w:right w:val="none" w:sz="0" w:space="0" w:color="auto"/>
          </w:divBdr>
        </w:div>
        <w:div w:id="2066757732">
          <w:marLeft w:val="0"/>
          <w:marRight w:val="0"/>
          <w:marTop w:val="0"/>
          <w:marBottom w:val="0"/>
          <w:divBdr>
            <w:top w:val="none" w:sz="0" w:space="0" w:color="auto"/>
            <w:left w:val="none" w:sz="0" w:space="0" w:color="auto"/>
            <w:bottom w:val="none" w:sz="0" w:space="0" w:color="auto"/>
            <w:right w:val="none" w:sz="0" w:space="0" w:color="auto"/>
          </w:divBdr>
        </w:div>
        <w:div w:id="1795370500">
          <w:marLeft w:val="0"/>
          <w:marRight w:val="0"/>
          <w:marTop w:val="0"/>
          <w:marBottom w:val="0"/>
          <w:divBdr>
            <w:top w:val="none" w:sz="0" w:space="0" w:color="auto"/>
            <w:left w:val="none" w:sz="0" w:space="0" w:color="auto"/>
            <w:bottom w:val="none" w:sz="0" w:space="0" w:color="auto"/>
            <w:right w:val="none" w:sz="0" w:space="0" w:color="auto"/>
          </w:divBdr>
        </w:div>
        <w:div w:id="2016417298">
          <w:marLeft w:val="0"/>
          <w:marRight w:val="0"/>
          <w:marTop w:val="0"/>
          <w:marBottom w:val="0"/>
          <w:divBdr>
            <w:top w:val="none" w:sz="0" w:space="0" w:color="auto"/>
            <w:left w:val="none" w:sz="0" w:space="0" w:color="auto"/>
            <w:bottom w:val="none" w:sz="0" w:space="0" w:color="auto"/>
            <w:right w:val="none" w:sz="0" w:space="0" w:color="auto"/>
          </w:divBdr>
        </w:div>
        <w:div w:id="1088310344">
          <w:marLeft w:val="0"/>
          <w:marRight w:val="0"/>
          <w:marTop w:val="0"/>
          <w:marBottom w:val="0"/>
          <w:divBdr>
            <w:top w:val="none" w:sz="0" w:space="0" w:color="auto"/>
            <w:left w:val="none" w:sz="0" w:space="0" w:color="auto"/>
            <w:bottom w:val="none" w:sz="0" w:space="0" w:color="auto"/>
            <w:right w:val="none" w:sz="0" w:space="0" w:color="auto"/>
          </w:divBdr>
        </w:div>
        <w:div w:id="318967338">
          <w:marLeft w:val="0"/>
          <w:marRight w:val="0"/>
          <w:marTop w:val="0"/>
          <w:marBottom w:val="0"/>
          <w:divBdr>
            <w:top w:val="none" w:sz="0" w:space="0" w:color="auto"/>
            <w:left w:val="none" w:sz="0" w:space="0" w:color="auto"/>
            <w:bottom w:val="none" w:sz="0" w:space="0" w:color="auto"/>
            <w:right w:val="none" w:sz="0" w:space="0" w:color="auto"/>
          </w:divBdr>
        </w:div>
        <w:div w:id="1538808019">
          <w:marLeft w:val="0"/>
          <w:marRight w:val="0"/>
          <w:marTop w:val="0"/>
          <w:marBottom w:val="0"/>
          <w:divBdr>
            <w:top w:val="none" w:sz="0" w:space="0" w:color="auto"/>
            <w:left w:val="none" w:sz="0" w:space="0" w:color="auto"/>
            <w:bottom w:val="none" w:sz="0" w:space="0" w:color="auto"/>
            <w:right w:val="none" w:sz="0" w:space="0" w:color="auto"/>
          </w:divBdr>
        </w:div>
      </w:divsChild>
    </w:div>
    <w:div w:id="954478939">
      <w:bodyDiv w:val="1"/>
      <w:marLeft w:val="0"/>
      <w:marRight w:val="0"/>
      <w:marTop w:val="0"/>
      <w:marBottom w:val="0"/>
      <w:divBdr>
        <w:top w:val="none" w:sz="0" w:space="0" w:color="auto"/>
        <w:left w:val="none" w:sz="0" w:space="0" w:color="auto"/>
        <w:bottom w:val="none" w:sz="0" w:space="0" w:color="auto"/>
        <w:right w:val="none" w:sz="0" w:space="0" w:color="auto"/>
      </w:divBdr>
      <w:divsChild>
        <w:div w:id="762840737">
          <w:marLeft w:val="0"/>
          <w:marRight w:val="0"/>
          <w:marTop w:val="0"/>
          <w:marBottom w:val="0"/>
          <w:divBdr>
            <w:top w:val="none" w:sz="0" w:space="0" w:color="auto"/>
            <w:left w:val="none" w:sz="0" w:space="0" w:color="auto"/>
            <w:bottom w:val="none" w:sz="0" w:space="0" w:color="auto"/>
            <w:right w:val="none" w:sz="0" w:space="0" w:color="auto"/>
          </w:divBdr>
        </w:div>
        <w:div w:id="1502162815">
          <w:marLeft w:val="0"/>
          <w:marRight w:val="0"/>
          <w:marTop w:val="0"/>
          <w:marBottom w:val="0"/>
          <w:divBdr>
            <w:top w:val="none" w:sz="0" w:space="0" w:color="auto"/>
            <w:left w:val="none" w:sz="0" w:space="0" w:color="auto"/>
            <w:bottom w:val="none" w:sz="0" w:space="0" w:color="auto"/>
            <w:right w:val="none" w:sz="0" w:space="0" w:color="auto"/>
          </w:divBdr>
        </w:div>
        <w:div w:id="594285402">
          <w:marLeft w:val="0"/>
          <w:marRight w:val="0"/>
          <w:marTop w:val="0"/>
          <w:marBottom w:val="0"/>
          <w:divBdr>
            <w:top w:val="none" w:sz="0" w:space="0" w:color="auto"/>
            <w:left w:val="none" w:sz="0" w:space="0" w:color="auto"/>
            <w:bottom w:val="none" w:sz="0" w:space="0" w:color="auto"/>
            <w:right w:val="none" w:sz="0" w:space="0" w:color="auto"/>
          </w:divBdr>
        </w:div>
        <w:div w:id="1631864213">
          <w:marLeft w:val="0"/>
          <w:marRight w:val="0"/>
          <w:marTop w:val="0"/>
          <w:marBottom w:val="0"/>
          <w:divBdr>
            <w:top w:val="none" w:sz="0" w:space="0" w:color="auto"/>
            <w:left w:val="none" w:sz="0" w:space="0" w:color="auto"/>
            <w:bottom w:val="none" w:sz="0" w:space="0" w:color="auto"/>
            <w:right w:val="none" w:sz="0" w:space="0" w:color="auto"/>
          </w:divBdr>
        </w:div>
        <w:div w:id="300814056">
          <w:marLeft w:val="0"/>
          <w:marRight w:val="0"/>
          <w:marTop w:val="0"/>
          <w:marBottom w:val="0"/>
          <w:divBdr>
            <w:top w:val="none" w:sz="0" w:space="0" w:color="auto"/>
            <w:left w:val="none" w:sz="0" w:space="0" w:color="auto"/>
            <w:bottom w:val="none" w:sz="0" w:space="0" w:color="auto"/>
            <w:right w:val="none" w:sz="0" w:space="0" w:color="auto"/>
          </w:divBdr>
        </w:div>
        <w:div w:id="1751350900">
          <w:marLeft w:val="0"/>
          <w:marRight w:val="0"/>
          <w:marTop w:val="0"/>
          <w:marBottom w:val="0"/>
          <w:divBdr>
            <w:top w:val="none" w:sz="0" w:space="0" w:color="auto"/>
            <w:left w:val="none" w:sz="0" w:space="0" w:color="auto"/>
            <w:bottom w:val="none" w:sz="0" w:space="0" w:color="auto"/>
            <w:right w:val="none" w:sz="0" w:space="0" w:color="auto"/>
          </w:divBdr>
        </w:div>
        <w:div w:id="1408650519">
          <w:marLeft w:val="0"/>
          <w:marRight w:val="0"/>
          <w:marTop w:val="0"/>
          <w:marBottom w:val="0"/>
          <w:divBdr>
            <w:top w:val="none" w:sz="0" w:space="0" w:color="auto"/>
            <w:left w:val="none" w:sz="0" w:space="0" w:color="auto"/>
            <w:bottom w:val="none" w:sz="0" w:space="0" w:color="auto"/>
            <w:right w:val="none" w:sz="0" w:space="0" w:color="auto"/>
          </w:divBdr>
        </w:div>
        <w:div w:id="2004234975">
          <w:marLeft w:val="0"/>
          <w:marRight w:val="0"/>
          <w:marTop w:val="0"/>
          <w:marBottom w:val="0"/>
          <w:divBdr>
            <w:top w:val="none" w:sz="0" w:space="0" w:color="auto"/>
            <w:left w:val="none" w:sz="0" w:space="0" w:color="auto"/>
            <w:bottom w:val="none" w:sz="0" w:space="0" w:color="auto"/>
            <w:right w:val="none" w:sz="0" w:space="0" w:color="auto"/>
          </w:divBdr>
        </w:div>
        <w:div w:id="856847851">
          <w:marLeft w:val="0"/>
          <w:marRight w:val="0"/>
          <w:marTop w:val="0"/>
          <w:marBottom w:val="0"/>
          <w:divBdr>
            <w:top w:val="none" w:sz="0" w:space="0" w:color="auto"/>
            <w:left w:val="none" w:sz="0" w:space="0" w:color="auto"/>
            <w:bottom w:val="none" w:sz="0" w:space="0" w:color="auto"/>
            <w:right w:val="none" w:sz="0" w:space="0" w:color="auto"/>
          </w:divBdr>
        </w:div>
        <w:div w:id="1783724702">
          <w:marLeft w:val="0"/>
          <w:marRight w:val="0"/>
          <w:marTop w:val="0"/>
          <w:marBottom w:val="0"/>
          <w:divBdr>
            <w:top w:val="none" w:sz="0" w:space="0" w:color="auto"/>
            <w:left w:val="none" w:sz="0" w:space="0" w:color="auto"/>
            <w:bottom w:val="none" w:sz="0" w:space="0" w:color="auto"/>
            <w:right w:val="none" w:sz="0" w:space="0" w:color="auto"/>
          </w:divBdr>
        </w:div>
        <w:div w:id="565258940">
          <w:marLeft w:val="0"/>
          <w:marRight w:val="0"/>
          <w:marTop w:val="0"/>
          <w:marBottom w:val="0"/>
          <w:divBdr>
            <w:top w:val="none" w:sz="0" w:space="0" w:color="auto"/>
            <w:left w:val="none" w:sz="0" w:space="0" w:color="auto"/>
            <w:bottom w:val="none" w:sz="0" w:space="0" w:color="auto"/>
            <w:right w:val="none" w:sz="0" w:space="0" w:color="auto"/>
          </w:divBdr>
        </w:div>
        <w:div w:id="1940914820">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1619795534">
          <w:marLeft w:val="0"/>
          <w:marRight w:val="0"/>
          <w:marTop w:val="0"/>
          <w:marBottom w:val="0"/>
          <w:divBdr>
            <w:top w:val="none" w:sz="0" w:space="0" w:color="auto"/>
            <w:left w:val="none" w:sz="0" w:space="0" w:color="auto"/>
            <w:bottom w:val="none" w:sz="0" w:space="0" w:color="auto"/>
            <w:right w:val="none" w:sz="0" w:space="0" w:color="auto"/>
          </w:divBdr>
        </w:div>
      </w:divsChild>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2000158922">
      <w:bodyDiv w:val="1"/>
      <w:marLeft w:val="0"/>
      <w:marRight w:val="0"/>
      <w:marTop w:val="0"/>
      <w:marBottom w:val="0"/>
      <w:divBdr>
        <w:top w:val="none" w:sz="0" w:space="0" w:color="auto"/>
        <w:left w:val="none" w:sz="0" w:space="0" w:color="auto"/>
        <w:bottom w:val="none" w:sz="0" w:space="0" w:color="auto"/>
        <w:right w:val="none" w:sz="0" w:space="0" w:color="auto"/>
      </w:divBdr>
      <w:divsChild>
        <w:div w:id="476074070">
          <w:marLeft w:val="0"/>
          <w:marRight w:val="0"/>
          <w:marTop w:val="0"/>
          <w:marBottom w:val="0"/>
          <w:divBdr>
            <w:top w:val="none" w:sz="0" w:space="0" w:color="auto"/>
            <w:left w:val="none" w:sz="0" w:space="0" w:color="auto"/>
            <w:bottom w:val="none" w:sz="0" w:space="0" w:color="auto"/>
            <w:right w:val="none" w:sz="0" w:space="0" w:color="auto"/>
          </w:divBdr>
        </w:div>
        <w:div w:id="91434623">
          <w:marLeft w:val="0"/>
          <w:marRight w:val="0"/>
          <w:marTop w:val="0"/>
          <w:marBottom w:val="0"/>
          <w:divBdr>
            <w:top w:val="none" w:sz="0" w:space="0" w:color="auto"/>
            <w:left w:val="none" w:sz="0" w:space="0" w:color="auto"/>
            <w:bottom w:val="none" w:sz="0" w:space="0" w:color="auto"/>
            <w:right w:val="none" w:sz="0" w:space="0" w:color="auto"/>
          </w:divBdr>
        </w:div>
        <w:div w:id="1474562071">
          <w:marLeft w:val="0"/>
          <w:marRight w:val="0"/>
          <w:marTop w:val="0"/>
          <w:marBottom w:val="0"/>
          <w:divBdr>
            <w:top w:val="none" w:sz="0" w:space="0" w:color="auto"/>
            <w:left w:val="none" w:sz="0" w:space="0" w:color="auto"/>
            <w:bottom w:val="none" w:sz="0" w:space="0" w:color="auto"/>
            <w:right w:val="none" w:sz="0" w:space="0" w:color="auto"/>
          </w:divBdr>
        </w:div>
        <w:div w:id="1731073141">
          <w:marLeft w:val="0"/>
          <w:marRight w:val="0"/>
          <w:marTop w:val="0"/>
          <w:marBottom w:val="0"/>
          <w:divBdr>
            <w:top w:val="none" w:sz="0" w:space="0" w:color="auto"/>
            <w:left w:val="none" w:sz="0" w:space="0" w:color="auto"/>
            <w:bottom w:val="none" w:sz="0" w:space="0" w:color="auto"/>
            <w:right w:val="none" w:sz="0" w:space="0" w:color="auto"/>
          </w:divBdr>
        </w:div>
        <w:div w:id="1294553582">
          <w:marLeft w:val="0"/>
          <w:marRight w:val="0"/>
          <w:marTop w:val="0"/>
          <w:marBottom w:val="0"/>
          <w:divBdr>
            <w:top w:val="none" w:sz="0" w:space="0" w:color="auto"/>
            <w:left w:val="none" w:sz="0" w:space="0" w:color="auto"/>
            <w:bottom w:val="none" w:sz="0" w:space="0" w:color="auto"/>
            <w:right w:val="none" w:sz="0" w:space="0" w:color="auto"/>
          </w:divBdr>
        </w:div>
        <w:div w:id="1033530381">
          <w:marLeft w:val="0"/>
          <w:marRight w:val="0"/>
          <w:marTop w:val="0"/>
          <w:marBottom w:val="0"/>
          <w:divBdr>
            <w:top w:val="none" w:sz="0" w:space="0" w:color="auto"/>
            <w:left w:val="none" w:sz="0" w:space="0" w:color="auto"/>
            <w:bottom w:val="none" w:sz="0" w:space="0" w:color="auto"/>
            <w:right w:val="none" w:sz="0" w:space="0" w:color="auto"/>
          </w:divBdr>
        </w:div>
        <w:div w:id="1630160591">
          <w:marLeft w:val="0"/>
          <w:marRight w:val="0"/>
          <w:marTop w:val="0"/>
          <w:marBottom w:val="0"/>
          <w:divBdr>
            <w:top w:val="none" w:sz="0" w:space="0" w:color="auto"/>
            <w:left w:val="none" w:sz="0" w:space="0" w:color="auto"/>
            <w:bottom w:val="none" w:sz="0" w:space="0" w:color="auto"/>
            <w:right w:val="none" w:sz="0" w:space="0" w:color="auto"/>
          </w:divBdr>
        </w:div>
        <w:div w:id="564687097">
          <w:marLeft w:val="0"/>
          <w:marRight w:val="0"/>
          <w:marTop w:val="0"/>
          <w:marBottom w:val="0"/>
          <w:divBdr>
            <w:top w:val="none" w:sz="0" w:space="0" w:color="auto"/>
            <w:left w:val="none" w:sz="0" w:space="0" w:color="auto"/>
            <w:bottom w:val="none" w:sz="0" w:space="0" w:color="auto"/>
            <w:right w:val="none" w:sz="0" w:space="0" w:color="auto"/>
          </w:divBdr>
        </w:div>
        <w:div w:id="955987642">
          <w:marLeft w:val="0"/>
          <w:marRight w:val="0"/>
          <w:marTop w:val="0"/>
          <w:marBottom w:val="0"/>
          <w:divBdr>
            <w:top w:val="none" w:sz="0" w:space="0" w:color="auto"/>
            <w:left w:val="none" w:sz="0" w:space="0" w:color="auto"/>
            <w:bottom w:val="none" w:sz="0" w:space="0" w:color="auto"/>
            <w:right w:val="none" w:sz="0" w:space="0" w:color="auto"/>
          </w:divBdr>
        </w:div>
        <w:div w:id="330716822">
          <w:marLeft w:val="0"/>
          <w:marRight w:val="0"/>
          <w:marTop w:val="0"/>
          <w:marBottom w:val="0"/>
          <w:divBdr>
            <w:top w:val="none" w:sz="0" w:space="0" w:color="auto"/>
            <w:left w:val="none" w:sz="0" w:space="0" w:color="auto"/>
            <w:bottom w:val="none" w:sz="0" w:space="0" w:color="auto"/>
            <w:right w:val="none" w:sz="0" w:space="0" w:color="auto"/>
          </w:divBdr>
        </w:div>
        <w:div w:id="1829706854">
          <w:marLeft w:val="0"/>
          <w:marRight w:val="0"/>
          <w:marTop w:val="0"/>
          <w:marBottom w:val="0"/>
          <w:divBdr>
            <w:top w:val="none" w:sz="0" w:space="0" w:color="auto"/>
            <w:left w:val="none" w:sz="0" w:space="0" w:color="auto"/>
            <w:bottom w:val="none" w:sz="0" w:space="0" w:color="auto"/>
            <w:right w:val="none" w:sz="0" w:space="0" w:color="auto"/>
          </w:divBdr>
        </w:div>
        <w:div w:id="2061395792">
          <w:marLeft w:val="0"/>
          <w:marRight w:val="0"/>
          <w:marTop w:val="0"/>
          <w:marBottom w:val="0"/>
          <w:divBdr>
            <w:top w:val="none" w:sz="0" w:space="0" w:color="auto"/>
            <w:left w:val="none" w:sz="0" w:space="0" w:color="auto"/>
            <w:bottom w:val="none" w:sz="0" w:space="0" w:color="auto"/>
            <w:right w:val="none" w:sz="0" w:space="0" w:color="auto"/>
          </w:divBdr>
        </w:div>
        <w:div w:id="11882579">
          <w:marLeft w:val="0"/>
          <w:marRight w:val="0"/>
          <w:marTop w:val="0"/>
          <w:marBottom w:val="0"/>
          <w:divBdr>
            <w:top w:val="none" w:sz="0" w:space="0" w:color="auto"/>
            <w:left w:val="none" w:sz="0" w:space="0" w:color="auto"/>
            <w:bottom w:val="none" w:sz="0" w:space="0" w:color="auto"/>
            <w:right w:val="none" w:sz="0" w:space="0" w:color="auto"/>
          </w:divBdr>
        </w:div>
        <w:div w:id="36483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2</TotalTime>
  <Pages>3</Pages>
  <Words>986</Words>
  <Characters>5625</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2022-11-24T10:35:00Z</dcterms:created>
  <dcterms:modified xsi:type="dcterms:W3CDTF">2022-11-24T10:35:00Z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